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="00F87DF7"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направлена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4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lastRenderedPageBreak/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E91928" w:rsidRPr="00B74875">
        <w:rPr>
          <w:rFonts w:ascii="Times New Roman" w:hAnsi="Times New Roman"/>
          <w:sz w:val="32"/>
          <w:szCs w:val="32"/>
        </w:rPr>
        <w:t xml:space="preserve"> 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F756D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757869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lastRenderedPageBreak/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</w:t>
      </w:r>
      <w:r w:rsidR="007C4260" w:rsidRPr="00B74875">
        <w:rPr>
          <w:rFonts w:ascii="Times New Roman" w:hAnsi="Times New Roman"/>
          <w:sz w:val="32"/>
          <w:szCs w:val="32"/>
        </w:rPr>
        <w:t xml:space="preserve"> </w:t>
      </w:r>
      <w:r w:rsidR="007F1802" w:rsidRPr="00B74875">
        <w:rPr>
          <w:rFonts w:ascii="Times New Roman" w:hAnsi="Times New Roman"/>
          <w:sz w:val="32"/>
          <w:szCs w:val="32"/>
        </w:rPr>
        <w:t>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1"/>
      </w:r>
      <w:r w:rsidR="009324CF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7F1802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  <w:r w:rsidR="003F3CC3" w:rsidRPr="00B74875">
        <w:rPr>
          <w:rFonts w:ascii="Times New Roman" w:hAnsi="Times New Roman"/>
          <w:sz w:val="32"/>
          <w:szCs w:val="32"/>
        </w:rPr>
        <w:t xml:space="preserve"> </w:t>
      </w:r>
      <w:r w:rsidR="007369BA">
        <w:rPr>
          <w:rFonts w:ascii="Times New Roman" w:hAnsi="Times New Roman"/>
          <w:sz w:val="32"/>
          <w:szCs w:val="32"/>
        </w:rPr>
        <w:t xml:space="preserve">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3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  <w:r w:rsidR="0051503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F40E3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B25C4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C66D2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15783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5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666AFE" w:rsidRPr="00B74875">
        <w:rPr>
          <w:rFonts w:ascii="Times New Roman" w:hAnsi="Times New Roman"/>
          <w:sz w:val="32"/>
          <w:szCs w:val="32"/>
        </w:rPr>
        <w:t xml:space="preserve"> 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  <w:r w:rsidR="0015783A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A3125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F84046" w:rsidRPr="00B74875">
        <w:rPr>
          <w:rFonts w:ascii="Times New Roman" w:hAnsi="Times New Roman"/>
          <w:sz w:val="32"/>
          <w:szCs w:val="32"/>
        </w:rPr>
        <w:t xml:space="preserve"> 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CA0556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67D2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82906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0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DB643A" w:rsidRPr="00B74875">
        <w:rPr>
          <w:rFonts w:ascii="Times New Roman" w:hAnsi="Times New Roman"/>
          <w:sz w:val="32"/>
          <w:szCs w:val="32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0C778D" w:rsidRPr="00B74875">
        <w:rPr>
          <w:rFonts w:ascii="Times New Roman" w:hAnsi="Times New Roman"/>
          <w:sz w:val="32"/>
          <w:szCs w:val="32"/>
        </w:rPr>
        <w:t xml:space="preserve"> 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1365BA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9E7B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8129E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 </w:t>
      </w:r>
      <w:proofErr w:type="gramStart"/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  <w:proofErr w:type="gramEnd"/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1B71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r w:rsidR="00E35D36" w:rsidRPr="00B74875">
        <w:rPr>
          <w:rFonts w:ascii="Times New Roman" w:hAnsi="Times New Roman"/>
          <w:sz w:val="32"/>
          <w:szCs w:val="32"/>
        </w:rPr>
        <w:t xml:space="preserve"> </w:t>
      </w:r>
      <w:bookmarkEnd w:id="0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  <w:r w:rsidR="00544342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3338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45A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4799D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FE418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ю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</w:t>
      </w:r>
      <w:r w:rsidR="00FC1C53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57E2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566EC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  <w:r w:rsidR="006F4B0A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C769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proofErr w:type="spellStart"/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</w:t>
      </w:r>
      <w:proofErr w:type="spellEnd"/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  <w:r w:rsidR="00BB3E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234A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  <w:proofErr w:type="gramEnd"/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D6426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7701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</w:t>
      </w:r>
      <w:r w:rsidR="00D670A8" w:rsidRPr="00B74875">
        <w:rPr>
          <w:rFonts w:ascii="Times New Roman" w:hAnsi="Times New Roman"/>
          <w:sz w:val="32"/>
          <w:szCs w:val="32"/>
        </w:rPr>
        <w:lastRenderedPageBreak/>
        <w:t>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D94EA2" w:rsidRPr="00B74875">
        <w:rPr>
          <w:rFonts w:ascii="Times New Roman" w:hAnsi="Times New Roman"/>
          <w:sz w:val="32"/>
          <w:szCs w:val="32"/>
        </w:rPr>
        <w:t xml:space="preserve"> 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4A020E" w:rsidRPr="00B74875">
        <w:rPr>
          <w:rFonts w:ascii="Times New Roman" w:hAnsi="Times New Roman"/>
          <w:sz w:val="32"/>
          <w:szCs w:val="32"/>
        </w:rPr>
        <w:t xml:space="preserve"> 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234AA9" w:rsidRPr="00B74875">
        <w:rPr>
          <w:rFonts w:ascii="Times New Roman" w:hAnsi="Times New Roman"/>
          <w:sz w:val="32"/>
          <w:szCs w:val="32"/>
        </w:rPr>
        <w:t xml:space="preserve"> 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FC4F2F" w:rsidRPr="00B74875">
        <w:rPr>
          <w:rFonts w:ascii="Times New Roman" w:hAnsi="Times New Roman"/>
          <w:sz w:val="32"/>
          <w:szCs w:val="32"/>
        </w:rPr>
        <w:t>для</w:t>
      </w:r>
      <w:proofErr w:type="gramEnd"/>
      <w:r w:rsidR="00FC4F2F" w:rsidRPr="00B74875">
        <w:rPr>
          <w:rFonts w:ascii="Times New Roman" w:hAnsi="Times New Roman"/>
          <w:sz w:val="32"/>
          <w:szCs w:val="32"/>
        </w:rPr>
        <w:t>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  <w:r w:rsidR="00903B04" w:rsidRPr="00B74875">
        <w:rPr>
          <w:rFonts w:ascii="Times New Roman" w:hAnsi="Times New Roman"/>
          <w:sz w:val="32"/>
          <w:szCs w:val="32"/>
        </w:rPr>
        <w:t xml:space="preserve">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2E6C48" w:rsidRPr="00B74875">
        <w:rPr>
          <w:rFonts w:ascii="Times New Roman" w:hAnsi="Times New Roman"/>
          <w:sz w:val="32"/>
          <w:szCs w:val="32"/>
        </w:rPr>
        <w:t xml:space="preserve"> 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07584" w:rsidRPr="00B74875">
        <w:rPr>
          <w:rFonts w:ascii="Times New Roman" w:hAnsi="Times New Roman"/>
          <w:sz w:val="32"/>
          <w:szCs w:val="32"/>
        </w:rPr>
        <w:t xml:space="preserve"> 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  <w:r w:rsidR="00257391" w:rsidRPr="00B74875">
        <w:rPr>
          <w:rFonts w:ascii="Times New Roman" w:hAnsi="Times New Roman"/>
          <w:sz w:val="32"/>
          <w:szCs w:val="32"/>
        </w:rPr>
        <w:t xml:space="preserve"> 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</w:t>
      </w:r>
      <w:r w:rsidR="00FE57B5" w:rsidRPr="00B74875">
        <w:rPr>
          <w:rFonts w:ascii="Times New Roman" w:hAnsi="Times New Roman"/>
          <w:sz w:val="32"/>
          <w:szCs w:val="32"/>
        </w:rPr>
        <w:t xml:space="preserve"> </w:t>
      </w:r>
      <w:r w:rsidR="00A23CB5" w:rsidRPr="00B74875">
        <w:rPr>
          <w:rFonts w:ascii="Times New Roman" w:hAnsi="Times New Roman"/>
          <w:sz w:val="32"/>
          <w:szCs w:val="32"/>
        </w:rPr>
        <w:t>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  <w:r w:rsidR="003D4F80" w:rsidRPr="00B74875">
        <w:rPr>
          <w:rFonts w:ascii="Times New Roman" w:hAnsi="Times New Roman"/>
          <w:sz w:val="32"/>
          <w:szCs w:val="32"/>
        </w:rPr>
        <w:t xml:space="preserve">   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="00833635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proofErr w:type="gramStart"/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в Российскую Федерацию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proofErr w:type="spellStart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Россотрудничество</w:t>
      </w:r>
      <w:proofErr w:type="spellEnd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0A70CA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>,</w:t>
      </w:r>
      <w:r w:rsidR="00F04E73" w:rsidRPr="00B74875">
        <w:rPr>
          <w:rFonts w:ascii="Times New Roman" w:hAnsi="Times New Roman"/>
          <w:sz w:val="32"/>
          <w:szCs w:val="32"/>
        </w:rPr>
        <w:t xml:space="preserve"> </w:t>
      </w:r>
      <w:r w:rsidR="00C934E6" w:rsidRPr="00B74875">
        <w:rPr>
          <w:rFonts w:ascii="Times New Roman" w:hAnsi="Times New Roman"/>
          <w:sz w:val="32"/>
          <w:szCs w:val="32"/>
        </w:rPr>
        <w:t xml:space="preserve">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информировать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  <w:r w:rsidR="009F3A13" w:rsidRPr="00B74875">
        <w:rPr>
          <w:rFonts w:ascii="Times New Roman" w:hAnsi="Times New Roman"/>
          <w:sz w:val="32"/>
          <w:szCs w:val="32"/>
        </w:rPr>
        <w:t xml:space="preserve"> </w:t>
      </w:r>
      <w:r w:rsidR="007D07D5" w:rsidRPr="00B74875">
        <w:rPr>
          <w:rFonts w:ascii="Times New Roman" w:hAnsi="Times New Roman"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  <w:r w:rsidR="008B5CB2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  <w:r w:rsidRPr="00B74875">
        <w:rPr>
          <w:rFonts w:ascii="Times New Roman" w:hAnsi="Times New Roman"/>
          <w:sz w:val="32"/>
          <w:szCs w:val="32"/>
        </w:rPr>
        <w:t xml:space="preserve">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> </w:t>
      </w:r>
      <w:proofErr w:type="gramStart"/>
      <w:r w:rsidR="007C5065" w:rsidRPr="00B74875">
        <w:rPr>
          <w:rFonts w:ascii="Times New Roman" w:hAnsi="Times New Roman"/>
          <w:sz w:val="32"/>
          <w:szCs w:val="32"/>
        </w:rPr>
        <w:t xml:space="preserve">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002C43"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7C5065" w:rsidRPr="00B74875">
        <w:rPr>
          <w:rFonts w:ascii="Times New Roman" w:hAnsi="Times New Roman"/>
          <w:sz w:val="32"/>
          <w:szCs w:val="32"/>
        </w:rPr>
        <w:t xml:space="preserve"> 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D2752F" w:rsidRPr="00B74875">
        <w:rPr>
          <w:rFonts w:ascii="Times New Roman" w:hAnsi="Times New Roman"/>
          <w:sz w:val="32"/>
          <w:szCs w:val="32"/>
        </w:rPr>
        <w:t xml:space="preserve"> 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</w:t>
      </w:r>
      <w:r w:rsidR="00687DAD" w:rsidRPr="00B74875">
        <w:rPr>
          <w:rFonts w:ascii="Times New Roman" w:hAnsi="Times New Roman"/>
          <w:sz w:val="32"/>
          <w:szCs w:val="32"/>
        </w:rPr>
        <w:t xml:space="preserve"> </w:t>
      </w:r>
      <w:r w:rsidR="00D2752F" w:rsidRPr="00B74875">
        <w:rPr>
          <w:rFonts w:ascii="Times New Roman" w:hAnsi="Times New Roman"/>
          <w:sz w:val="32"/>
          <w:szCs w:val="32"/>
        </w:rPr>
        <w:t>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630F5F" w:rsidRPr="00B74875">
        <w:rPr>
          <w:rFonts w:ascii="Times New Roman" w:hAnsi="Times New Roman"/>
          <w:sz w:val="32"/>
          <w:szCs w:val="32"/>
        </w:rPr>
        <w:t xml:space="preserve">  </w:t>
      </w:r>
      <w:proofErr w:type="gramEnd"/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C7C5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472F6D" w:rsidRPr="00B74875">
        <w:rPr>
          <w:rFonts w:ascii="Times New Roman" w:hAnsi="Times New Roman"/>
          <w:sz w:val="32"/>
          <w:szCs w:val="32"/>
        </w:rPr>
        <w:t xml:space="preserve"> 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  <w:r w:rsidR="00C71A5A" w:rsidRPr="00B74875">
        <w:rPr>
          <w:rFonts w:ascii="Times New Roman" w:hAnsi="Times New Roman"/>
          <w:sz w:val="32"/>
          <w:szCs w:val="32"/>
        </w:rPr>
        <w:t xml:space="preserve"> 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1739C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A78E0" w:rsidRPr="00B74875">
        <w:rPr>
          <w:rFonts w:ascii="Times New Roman" w:hAnsi="Times New Roman"/>
          <w:i/>
          <w:iCs/>
          <w:strike/>
          <w:sz w:val="32"/>
          <w:szCs w:val="32"/>
          <w:lang w:eastAsia="ru-RU"/>
        </w:rPr>
        <w:t xml:space="preserve"> 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23D5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614AF7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4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>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 xml:space="preserve">общественно-политическим, воспитательным, просветительским, культурным, досуговым и спортивным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lastRenderedPageBreak/>
        <w:t>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26052F" w:rsidRPr="00B74875">
        <w:rPr>
          <w:rFonts w:ascii="Times New Roman" w:hAnsi="Times New Roman"/>
          <w:sz w:val="32"/>
          <w:szCs w:val="32"/>
        </w:rPr>
        <w:t xml:space="preserve"> 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  <w:r w:rsidR="00613BFC" w:rsidRPr="00B74875">
        <w:rPr>
          <w:rFonts w:ascii="Times New Roman" w:hAnsi="Times New Roman"/>
          <w:sz w:val="32"/>
          <w:szCs w:val="32"/>
        </w:rPr>
        <w:t xml:space="preserve">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</w:t>
      </w:r>
      <w:proofErr w:type="gramStart"/>
      <w:r w:rsidR="004100E9" w:rsidRPr="00B74875">
        <w:rPr>
          <w:rFonts w:ascii="Times New Roman" w:hAnsi="Times New Roman"/>
          <w:sz w:val="32"/>
          <w:szCs w:val="32"/>
        </w:rPr>
        <w:t>основе</w:t>
      </w:r>
      <w:proofErr w:type="gramEnd"/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DC1E64" w:rsidRPr="00B74875">
        <w:rPr>
          <w:rFonts w:ascii="Times New Roman" w:hAnsi="Times New Roman"/>
          <w:sz w:val="32"/>
          <w:szCs w:val="32"/>
        </w:rPr>
        <w:t xml:space="preserve"> 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231FE5" w:rsidRPr="00B74875">
        <w:rPr>
          <w:rFonts w:ascii="Times New Roman" w:hAnsi="Times New Roman"/>
          <w:sz w:val="32"/>
          <w:szCs w:val="32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="00946B08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  <w:r w:rsidR="00EB60F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12E93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</w:t>
      </w:r>
      <w:r w:rsidR="00C0085B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3.1. </w:t>
      </w:r>
      <w:proofErr w:type="gramStart"/>
      <w:r w:rsidRPr="00B74875">
        <w:rPr>
          <w:rFonts w:ascii="Times New Roman" w:hAnsi="Times New Roman"/>
          <w:sz w:val="32"/>
          <w:szCs w:val="32"/>
        </w:rPr>
        <w:t>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="003A020B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 xml:space="preserve">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010B74" w:rsidRPr="00B74875">
        <w:rPr>
          <w:rFonts w:ascii="Times New Roman" w:hAnsi="Times New Roman"/>
          <w:sz w:val="32"/>
          <w:szCs w:val="32"/>
        </w:rPr>
        <w:t xml:space="preserve">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C06896" w:rsidRPr="00B74875">
        <w:rPr>
          <w:rFonts w:ascii="Times New Roman" w:hAnsi="Times New Roman"/>
          <w:sz w:val="32"/>
          <w:szCs w:val="32"/>
        </w:rPr>
        <w:t xml:space="preserve"> 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494F9E" w:rsidRPr="00B74875">
        <w:rPr>
          <w:rFonts w:ascii="Times New Roman" w:hAnsi="Times New Roman"/>
          <w:sz w:val="32"/>
          <w:szCs w:val="32"/>
        </w:rPr>
        <w:t>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ресоциализацию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реинтеграцию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7A6899" w:rsidRPr="00B74875">
        <w:rPr>
          <w:rFonts w:ascii="Times New Roman" w:hAnsi="Times New Roman"/>
          <w:sz w:val="32"/>
          <w:szCs w:val="32"/>
        </w:rPr>
        <w:t xml:space="preserve"> 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="00C32010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proofErr w:type="gramStart"/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7D68B8" w:rsidRPr="00B74875">
        <w:rPr>
          <w:rFonts w:ascii="Times New Roman" w:hAnsi="Times New Roman"/>
          <w:sz w:val="32"/>
          <w:szCs w:val="32"/>
        </w:rPr>
        <w:t>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proofErr w:type="gramEnd"/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DF720B" w:rsidRPr="00B74875">
        <w:rPr>
          <w:rFonts w:ascii="Times New Roman" w:hAnsi="Times New Roman"/>
          <w:sz w:val="32"/>
          <w:szCs w:val="32"/>
        </w:rPr>
        <w:t>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  <w:r w:rsidR="00491E1A" w:rsidRPr="00B74875">
        <w:rPr>
          <w:rFonts w:ascii="Times New Roman" w:hAnsi="Times New Roman"/>
          <w:sz w:val="32"/>
          <w:szCs w:val="32"/>
        </w:rPr>
        <w:t xml:space="preserve">  </w:t>
      </w:r>
      <w:r w:rsidR="00374A8F" w:rsidRPr="00B74875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  <w:r w:rsidR="00C5506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proofErr w:type="gramStart"/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F286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</w:t>
      </w:r>
      <w:r w:rsidR="00690B54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  <w:r w:rsidR="00841562" w:rsidRPr="00B74875">
        <w:rPr>
          <w:rFonts w:ascii="Times New Roman" w:hAnsi="Times New Roman"/>
          <w:iCs/>
          <w:sz w:val="32"/>
          <w:szCs w:val="32"/>
        </w:rPr>
        <w:t xml:space="preserve">   </w:t>
      </w:r>
      <w:proofErr w:type="gramEnd"/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025B5C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6276D3" w:rsidRPr="00B74875">
        <w:rPr>
          <w:rFonts w:ascii="Times New Roman" w:hAnsi="Times New Roman"/>
          <w:sz w:val="32"/>
          <w:szCs w:val="32"/>
        </w:rPr>
        <w:t xml:space="preserve"> 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445AD4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E12E00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proofErr w:type="gramStart"/>
      <w:r w:rsidR="00FE357A" w:rsidRPr="00B74875">
        <w:rPr>
          <w:rFonts w:ascii="Times New Roman" w:hAnsi="Times New Roman"/>
          <w:sz w:val="32"/>
          <w:szCs w:val="32"/>
        </w:rPr>
        <w:t>террористическому</w:t>
      </w:r>
      <w:proofErr w:type="gramEnd"/>
      <w:r w:rsidR="00FE357A" w:rsidRPr="00B74875">
        <w:rPr>
          <w:rFonts w:ascii="Times New Roman" w:hAnsi="Times New Roman"/>
          <w:sz w:val="32"/>
          <w:szCs w:val="32"/>
        </w:rPr>
        <w:t xml:space="preserve">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="00C76E34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EC43F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D13FD9" w:rsidRPr="00B74875">
        <w:rPr>
          <w:rFonts w:ascii="Times New Roman" w:hAnsi="Times New Roman"/>
          <w:i/>
          <w:iCs/>
          <w:sz w:val="32"/>
          <w:szCs w:val="32"/>
          <w:highlight w:val="magenta"/>
        </w:rPr>
        <w:t xml:space="preserve"> 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 </w:t>
      </w:r>
      <w:proofErr w:type="gramStart"/>
      <w:r w:rsidRPr="00B74875">
        <w:rPr>
          <w:rFonts w:ascii="Times New Roman" w:hAnsi="Times New Roman"/>
          <w:sz w:val="32"/>
          <w:szCs w:val="32"/>
        </w:rPr>
        <w:t xml:space="preserve">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 xml:space="preserve">доводить до лиц, получивших религиозное образование за рубежом и имеющих намерения заниматься </w:t>
      </w:r>
      <w:r w:rsidR="006617C4" w:rsidRPr="00B74875">
        <w:rPr>
          <w:rFonts w:ascii="Times New Roman" w:hAnsi="Times New Roman"/>
          <w:sz w:val="32"/>
          <w:szCs w:val="32"/>
        </w:rPr>
        <w:lastRenderedPageBreak/>
        <w:t>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  <w:proofErr w:type="gramEnd"/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территориальными органами МВД России и </w:t>
      </w:r>
      <w:proofErr w:type="spellStart"/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Росфинмониторинга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proofErr w:type="gramStart"/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  <w:proofErr w:type="gramEnd"/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ФСИН России, </w:t>
      </w:r>
      <w:proofErr w:type="spellStart"/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90549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proofErr w:type="gramStart"/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782F2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6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по противодействию терроризму и</w:t>
      </w:r>
      <w:proofErr w:type="gramEnd"/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="00A0334D" w:rsidRPr="00B74875">
        <w:rPr>
          <w:rFonts w:ascii="Times New Roman" w:hAnsi="Times New Roman"/>
          <w:sz w:val="32"/>
          <w:szCs w:val="32"/>
          <w:lang w:eastAsia="ru-RU"/>
        </w:rPr>
        <w:t>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proofErr w:type="spellEnd"/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="0047241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   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lastRenderedPageBreak/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ФСИН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</w:t>
      </w:r>
      <w:proofErr w:type="gramStart"/>
      <w:r w:rsidR="00914A32" w:rsidRPr="00B74875">
        <w:rPr>
          <w:rFonts w:ascii="Times New Roman" w:hAnsi="Times New Roman"/>
          <w:sz w:val="32"/>
          <w:szCs w:val="32"/>
          <w:lang w:eastAsia="ru-RU"/>
        </w:rPr>
        <w:t>образования</w:t>
      </w:r>
      <w:proofErr w:type="gramEnd"/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-центрами,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</w:t>
      </w:r>
      <w:r w:rsidR="00CF2DB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B3E4B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lastRenderedPageBreak/>
        <w:t>социально</w:t>
      </w:r>
      <w:r w:rsidR="003B24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игровых и неигровых фильмов</w:t>
      </w:r>
      <w:proofErr w:type="gramEnd"/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F1795D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6E420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proofErr w:type="spellStart"/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CC3E2F" w:rsidRPr="00B74875">
        <w:rPr>
          <w:rFonts w:ascii="Times New Roman" w:hAnsi="Times New Roman"/>
          <w:i/>
          <w:sz w:val="32"/>
          <w:szCs w:val="32"/>
        </w:rPr>
        <w:t xml:space="preserve">  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  <w:r w:rsidR="00210C1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proofErr w:type="spellStart"/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8"/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4B708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и популярные каналы в</w:t>
      </w:r>
      <w:proofErr w:type="gramEnd"/>
      <w:r w:rsidRPr="00B74875">
        <w:rPr>
          <w:rFonts w:ascii="Times New Roman" w:hAnsi="Times New Roman"/>
          <w:sz w:val="32"/>
          <w:szCs w:val="32"/>
          <w:lang w:eastAsia="ru-RU"/>
        </w:rPr>
        <w:t xml:space="preserve"> социальных </w:t>
      </w:r>
      <w:proofErr w:type="gramStart"/>
      <w:r w:rsidRPr="00B74875">
        <w:rPr>
          <w:rFonts w:ascii="Times New Roman" w:hAnsi="Times New Roman"/>
          <w:sz w:val="32"/>
          <w:szCs w:val="32"/>
          <w:lang w:eastAsia="ru-RU"/>
        </w:rPr>
        <w:t>сетях</w:t>
      </w:r>
      <w:proofErr w:type="gramEnd"/>
      <w:r w:rsidRPr="00B74875">
        <w:rPr>
          <w:rFonts w:ascii="Times New Roman" w:hAnsi="Times New Roman"/>
          <w:sz w:val="32"/>
          <w:szCs w:val="32"/>
          <w:lang w:eastAsia="ru-RU"/>
        </w:rPr>
        <w:t xml:space="preserve">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4B70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Минобрнауки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Минпросвещения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Минцифры России, ФАДН России, Росмолодежью;</w:t>
      </w:r>
      <w:r w:rsidR="00C84D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lastRenderedPageBreak/>
        <w:t>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2D583B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53F2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0E1B7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E34B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lastRenderedPageBreak/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6162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End"/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proofErr w:type="gramStart"/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Минобрнауки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России и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РАНХиГС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proofErr w:type="gramEnd"/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</w:rPr>
        <w:t>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9"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учебно-методические центры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proofErr w:type="gramStart"/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 xml:space="preserve">обучающих мероприятий (конференции, форумы, </w:t>
      </w:r>
      <w:r w:rsidRPr="00B74875">
        <w:rPr>
          <w:rFonts w:ascii="Times New Roman" w:hAnsi="Times New Roman"/>
          <w:sz w:val="32"/>
          <w:szCs w:val="32"/>
        </w:rPr>
        <w:lastRenderedPageBreak/>
        <w:t>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их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  <w:r w:rsidR="00A245B6" w:rsidRPr="00B74875">
        <w:rPr>
          <w:rFonts w:ascii="Times New Roman" w:hAnsi="Times New Roman"/>
          <w:sz w:val="32"/>
          <w:szCs w:val="32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</w:t>
      </w:r>
      <w:r w:rsidR="00823CFA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ФАДН России;</w:t>
      </w:r>
      <w:r w:rsidR="00CD620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–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 xml:space="preserve">и психологов образовательных </w:t>
      </w:r>
      <w:proofErr w:type="gramStart"/>
      <w:r w:rsidRPr="00B74875">
        <w:rPr>
          <w:rFonts w:ascii="Times New Roman" w:hAnsi="Times New Roman"/>
          <w:sz w:val="32"/>
          <w:szCs w:val="32"/>
        </w:rPr>
        <w:t>организаций</w:t>
      </w:r>
      <w:proofErr w:type="gramEnd"/>
      <w:r w:rsidR="008278AE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FA490E" w:rsidRPr="00B74875">
        <w:rPr>
          <w:rFonts w:ascii="Times New Roman" w:hAnsi="Times New Roman"/>
          <w:sz w:val="32"/>
          <w:szCs w:val="32"/>
        </w:rPr>
        <w:t xml:space="preserve"> 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  <w:r w:rsidR="003406C5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  <w:r w:rsidR="00992D08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proofErr w:type="gramStart"/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  <w:proofErr w:type="gramEnd"/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proofErr w:type="gramStart"/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D64A35" w:rsidRPr="00B74875">
        <w:rPr>
          <w:rFonts w:ascii="Times New Roman" w:hAnsi="Times New Roman"/>
          <w:sz w:val="32"/>
          <w:szCs w:val="32"/>
        </w:rPr>
        <w:t xml:space="preserve">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  <w:proofErr w:type="gramEnd"/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  <w:r w:rsidR="008C24DE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>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  <w:proofErr w:type="gramEnd"/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радикализации обучающихся</w:t>
      </w:r>
      <w:r w:rsidR="00CC0D0E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</w:t>
      </w:r>
      <w:r w:rsidR="00EF7889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>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B74875">
        <w:rPr>
          <w:rFonts w:ascii="Times New Roman" w:hAnsi="Times New Roman"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1F043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  <w:r w:rsidR="00D64266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D64266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lastRenderedPageBreak/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064E2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</w:t>
      </w:r>
      <w:r w:rsidR="000A3DB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Росгвардией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  <w:r w:rsidR="00DF73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  <w:r w:rsidR="00C71A5A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053A4B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F002A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542B4B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250B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lastRenderedPageBreak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  <w:r w:rsidR="00B90A98" w:rsidRPr="00B74875">
        <w:rPr>
          <w:rFonts w:ascii="Times New Roman" w:hAnsi="Times New Roman"/>
          <w:i/>
          <w:iCs/>
          <w:spacing w:val="-4"/>
          <w:sz w:val="32"/>
          <w:szCs w:val="32"/>
        </w:rPr>
        <w:t xml:space="preserve"> 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="00BB6F06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  <w:r w:rsidR="006313D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  <w:r w:rsidR="009638E0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64751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3F769D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BF4E46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</w:t>
      </w:r>
      <w:proofErr w:type="gramEnd"/>
      <w:r w:rsidRPr="00B74875">
        <w:rPr>
          <w:rFonts w:ascii="Times New Roman" w:hAnsi="Times New Roman"/>
          <w:iCs/>
          <w:sz w:val="32"/>
          <w:szCs w:val="32"/>
        </w:rPr>
        <w:t xml:space="preserve">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lastRenderedPageBreak/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6.4. 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  <w:proofErr w:type="gramEnd"/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>Национального</w:t>
      </w:r>
      <w:proofErr w:type="gramEnd"/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антитеррористического комитета    </w:t>
      </w:r>
      <w:r w:rsidR="00CC54E6" w:rsidRPr="00B74875">
        <w:rPr>
          <w:rFonts w:ascii="Times New Roman" w:hAnsi="Times New Roman"/>
          <w:iCs/>
          <w:sz w:val="32"/>
          <w:szCs w:val="32"/>
        </w:rPr>
        <w:t xml:space="preserve">  </w:t>
      </w:r>
      <w:r w:rsidRPr="00B74875">
        <w:rPr>
          <w:rFonts w:ascii="Times New Roman" w:hAnsi="Times New Roman"/>
          <w:iCs/>
          <w:sz w:val="32"/>
          <w:szCs w:val="32"/>
        </w:rPr>
        <w:t xml:space="preserve">                                 </w:t>
      </w:r>
      <w:r w:rsidR="00F96D44" w:rsidRPr="00B74875">
        <w:rPr>
          <w:rFonts w:ascii="Times New Roman" w:hAnsi="Times New Roman"/>
          <w:iCs/>
          <w:sz w:val="32"/>
          <w:szCs w:val="32"/>
        </w:rPr>
        <w:t xml:space="preserve">    </w:t>
      </w:r>
      <w:r w:rsidRPr="00B74875">
        <w:rPr>
          <w:rFonts w:ascii="Times New Roman" w:hAnsi="Times New Roman"/>
          <w:iCs/>
          <w:sz w:val="32"/>
          <w:szCs w:val="32"/>
        </w:rPr>
        <w:t xml:space="preserve">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81" w:rsidRDefault="00451281" w:rsidP="00287B15">
      <w:pPr>
        <w:spacing w:after="0" w:line="240" w:lineRule="auto"/>
      </w:pPr>
      <w:r>
        <w:separator/>
      </w:r>
    </w:p>
  </w:endnote>
  <w:endnote w:type="continuationSeparator" w:id="0">
    <w:p w:rsidR="00451281" w:rsidRDefault="00451281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81" w:rsidRDefault="00451281" w:rsidP="00287B15">
      <w:pPr>
        <w:spacing w:after="0" w:line="240" w:lineRule="auto"/>
      </w:pPr>
      <w:r>
        <w:separator/>
      </w:r>
    </w:p>
  </w:footnote>
  <w:footnote w:type="continuationSeparator" w:id="0">
    <w:p w:rsidR="00451281" w:rsidRDefault="00451281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</w:t>
      </w:r>
      <w:proofErr w:type="spellStart"/>
      <w:r w:rsidRPr="00B74875">
        <w:t>псевдоислама</w:t>
      </w:r>
      <w:proofErr w:type="spellEnd"/>
      <w:r w:rsidRPr="00B74875">
        <w:t xml:space="preserve">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Общая профилактика – деятельность по реализации мероприятий с населением (для сферы образования – с </w:t>
      </w:r>
      <w:proofErr w:type="gramStart"/>
      <w:r w:rsidRPr="00B74875">
        <w:t>обучающимися</w:t>
      </w:r>
      <w:proofErr w:type="gramEnd"/>
      <w:r w:rsidRPr="00B74875">
        <w:t>), направленных на формирование антитеррористического мировоззрения.</w:t>
      </w:r>
    </w:p>
  </w:footnote>
  <w:footnote w:id="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</w:t>
      </w:r>
      <w:proofErr w:type="gramStart"/>
      <w:r w:rsidRPr="00B74875">
        <w:t>лицами</w:t>
      </w:r>
      <w:proofErr w:type="gramEnd"/>
      <w:r w:rsidRPr="00B74875"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  <w:proofErr w:type="gramEnd"/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</w:t>
      </w:r>
      <w:proofErr w:type="gramStart"/>
      <w:r w:rsidRPr="00B74875">
        <w:t>социального-экономического</w:t>
      </w:r>
      <w:proofErr w:type="gramEnd"/>
      <w:r w:rsidRPr="00B74875">
        <w:t xml:space="preserve">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  <w:proofErr w:type="gramEnd"/>
    </w:p>
  </w:footnote>
  <w:footnote w:id="11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</w:t>
      </w:r>
      <w:proofErr w:type="gramStart"/>
      <w:r w:rsidRPr="00B74875">
        <w:t>право</w:t>
      </w:r>
      <w:proofErr w:type="gramEnd"/>
      <w:r w:rsidRPr="00B74875">
        <w:t xml:space="preserve">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</w:t>
      </w:r>
      <w:proofErr w:type="gramStart"/>
      <w:r w:rsidRPr="00B74875">
        <w:t>тств пр</w:t>
      </w:r>
      <w:proofErr w:type="gramEnd"/>
      <w:r w:rsidRPr="00B74875">
        <w:t xml:space="preserve">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</w:t>
      </w:r>
      <w:proofErr w:type="gramEnd"/>
      <w:r w:rsidRPr="00B74875">
        <w:t xml:space="preserve"> некоммерческих организаций.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</w:t>
      </w:r>
      <w:proofErr w:type="spellStart"/>
      <w:r w:rsidRPr="00B74875">
        <w:t>Росгвардии</w:t>
      </w:r>
      <w:proofErr w:type="spellEnd"/>
      <w:r w:rsidRPr="00B74875">
        <w:t xml:space="preserve">, объединений (соединений, воинских частей), входящих в состав военных округов. </w:t>
      </w:r>
    </w:p>
  </w:footnote>
  <w:footnote w:id="19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  <w:proofErr w:type="gramEnd"/>
    </w:p>
  </w:footnote>
  <w:footnote w:id="20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  <w:proofErr w:type="gramEnd"/>
    </w:p>
  </w:footnote>
  <w:footnote w:id="25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  <w:proofErr w:type="gramEnd"/>
    </w:p>
  </w:footnote>
  <w:footnote w:id="26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proofErr w:type="gramStart"/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  <w:proofErr w:type="gramEnd"/>
    </w:p>
  </w:footnote>
  <w:footnote w:id="27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8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</w:t>
      </w:r>
      <w:proofErr w:type="gramEnd"/>
      <w:r w:rsidRPr="00B74875">
        <w:t xml:space="preserve">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</w:t>
      </w:r>
      <w:proofErr w:type="gramStart"/>
      <w:r w:rsidRPr="00B74875">
        <w:t>Интернет-портале</w:t>
      </w:r>
      <w:proofErr w:type="gramEnd"/>
      <w:r w:rsidRPr="00B74875"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90" w:rsidRPr="00CF0F5A" w:rsidRDefault="00BC02D8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="002C3B90"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2D1B84">
      <w:rPr>
        <w:rFonts w:ascii="Times New Roman" w:hAnsi="Times New Roman"/>
        <w:noProof/>
        <w:sz w:val="28"/>
        <w:szCs w:val="28"/>
      </w:rPr>
      <w:t>2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1B84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1281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2D8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229B-2B4C-4EA6-B6D3-885EE584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7797</Words>
  <Characters>44448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2024-12-23T10:35:00Z</dcterms:created>
  <dcterms:modified xsi:type="dcterms:W3CDTF">2024-12-23T10:35:00Z</dcterms:modified>
</cp:coreProperties>
</file>