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проведении акции «Счастливый билет 20</w:t>
      </w:r>
      <w:r>
        <w:rPr>
          <w:rFonts w:ascii="Times New Roman" w:hAnsi="Times New Roman"/>
          <w:b/>
          <w:sz w:val="28"/>
        </w:rPr>
        <w:t xml:space="preserve">25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(далее – Положение)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numPr>
          <w:ilvl w:val="0"/>
          <w:numId w:val="1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Общие положения</w:t>
      </w:r>
      <w:r>
        <w:rPr>
          <w:rFonts w:ascii="Times New Roman" w:hAnsi="Times New Roman"/>
          <w:b/>
          <w:sz w:val="28"/>
        </w:rPr>
      </w:r>
    </w:p>
    <w:p>
      <w:pPr>
        <w:ind w:left="600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определяет порядок организации и условия проведения акции «Счастливый билет 20</w:t>
      </w:r>
      <w:r>
        <w:rPr>
          <w:rFonts w:ascii="Times New Roman" w:hAnsi="Times New Roman"/>
          <w:sz w:val="28"/>
        </w:rPr>
        <w:t xml:space="preserve">25</w:t>
      </w:r>
      <w:r>
        <w:rPr>
          <w:rFonts w:ascii="Times New Roman" w:hAnsi="Times New Roman"/>
          <w:sz w:val="28"/>
        </w:rPr>
        <w:t xml:space="preserve">» (далее – Акция), порядок участия в Акции. 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Акция проводится в Ханты-Мансийском автономном округе – Югре (далее – автономный округ) ежегодно с 2020 года.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– г. Ханты-Мансийск.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Организатор Акции – Департамент образования и </w:t>
      </w:r>
      <w:r>
        <w:rPr>
          <w:rFonts w:ascii="Times New Roman" w:hAnsi="Times New Roman"/>
          <w:sz w:val="28"/>
        </w:rPr>
        <w:t xml:space="preserve">науки</w:t>
      </w:r>
      <w:bookmarkStart w:id="0" w:name="_GoBack"/>
      <w:r/>
      <w:bookmarkEnd w:id="0"/>
      <w:r>
        <w:rPr>
          <w:rFonts w:ascii="Times New Roman" w:hAnsi="Times New Roman"/>
          <w:sz w:val="28"/>
        </w:rPr>
        <w:t xml:space="preserve"> Ханты-Мансийского автономного округа – Югры (далее – Департамент).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color w:val="0563c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Положение размещено на официальной странице Департамента в сети Интернет </w:t>
      </w:r>
      <w:r>
        <w:rPr>
          <w:rFonts w:ascii="Times New Roman" w:hAnsi="Times New Roman"/>
          <w:color w:val="0563c1"/>
          <w:sz w:val="28"/>
          <w:u w:val="single"/>
        </w:rPr>
        <w:t xml:space="preserve">https://depobr.admhmao.ru/</w:t>
      </w:r>
      <w:r>
        <w:rPr>
          <w:rFonts w:ascii="Times New Roman" w:hAnsi="Times New Roman"/>
          <w:sz w:val="28"/>
        </w:rPr>
        <w:t xml:space="preserve"> и в официальных аккаунтах:</w:t>
      </w:r>
      <w:r>
        <w:rPr>
          <w:rFonts w:ascii="Times New Roman" w:hAnsi="Times New Roman"/>
          <w:color w:val="0563c1"/>
          <w:sz w:val="28"/>
          <w:u w:val="single"/>
        </w:rPr>
        <w:t xml:space="preserve"> </w:t>
      </w:r>
      <w:r>
        <w:rPr>
          <w:rFonts w:ascii="Times New Roman" w:hAnsi="Times New Roman"/>
          <w:color w:val="0563c1"/>
          <w:sz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color w:val="0563c1"/>
          <w:sz w:val="28"/>
          <w:u w:val="single"/>
        </w:rPr>
        <w:t xml:space="preserve">https://vk.com/doinhmao</w:t>
      </w:r>
      <w:r>
        <w:rPr>
          <w:rFonts w:ascii="Times New Roman" w:hAnsi="Times New Roman"/>
          <w:sz w:val="28"/>
        </w:rPr>
        <w:t xml:space="preserve">, </w:t>
      </w:r>
      <w:hyperlink r:id="rId10" w:tooltip="https://t.me/Ugradepobr" w:history="1">
        <w:r>
          <w:rPr>
            <w:rStyle w:val="865"/>
            <w:rFonts w:ascii="Times New Roman" w:hAnsi="Times New Roman"/>
            <w:sz w:val="28"/>
          </w:rPr>
          <w:t xml:space="preserve">https://t.me/Ugradepobr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yellow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электронной почты Акции: </w:t>
      </w:r>
      <w:r>
        <w:rPr>
          <w:rFonts w:ascii="Times New Roman" w:hAnsi="Times New Roman"/>
          <w:color w:val="0563c1"/>
          <w:sz w:val="28"/>
          <w:u w:val="single"/>
          <w:lang w:val="en-US"/>
        </w:rPr>
        <w:t xml:space="preserve">doinhmao</w:t>
      </w:r>
      <w:r>
        <w:rPr>
          <w:rFonts w:ascii="Times New Roman" w:hAnsi="Times New Roman"/>
          <w:color w:val="0563c1"/>
          <w:sz w:val="28"/>
          <w:u w:val="single"/>
        </w:rPr>
        <w:t xml:space="preserve">86</w:t>
      </w:r>
      <w:r>
        <w:rPr>
          <w:rFonts w:ascii="Times New Roman" w:hAnsi="Times New Roman"/>
          <w:color w:val="0563c1"/>
          <w:sz w:val="28"/>
          <w:u w:val="single"/>
        </w:rPr>
        <w:t xml:space="preserve">@</w:t>
      </w:r>
      <w:r>
        <w:rPr>
          <w:rFonts w:ascii="Times New Roman" w:hAnsi="Times New Roman"/>
          <w:color w:val="0563c1"/>
          <w:sz w:val="28"/>
          <w:u w:val="single"/>
          <w:lang w:val="en-US"/>
        </w:rPr>
        <w:t xml:space="preserve">yandex</w:t>
      </w:r>
      <w:r>
        <w:rPr>
          <w:rFonts w:ascii="Times New Roman" w:hAnsi="Times New Roman"/>
          <w:color w:val="0563c1"/>
          <w:sz w:val="28"/>
          <w:u w:val="single"/>
        </w:rPr>
        <w:t xml:space="preserve">.</w:t>
      </w:r>
      <w:r>
        <w:rPr>
          <w:rFonts w:ascii="Times New Roman" w:hAnsi="Times New Roman"/>
          <w:color w:val="0563c1"/>
          <w:sz w:val="28"/>
          <w:u w:val="single"/>
          <w:lang w:val="en-US"/>
        </w:rPr>
        <w:t xml:space="preserve">ru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Акции является добровольным. 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Акции необходимо заполнить заявку с кратким описанием желания по ссылке указанной в пункте 1.5 Положения.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Заявка оформляется путем заполнения анкеты по ссылке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hyperlink r:id="rId11" w:tooltip="https://forms.yandex.ru/cloud/659e723773cee73da379ffe8/" w:history="1">
        <w:r>
          <w:rPr>
            <w:rStyle w:val="865"/>
            <w:rFonts w:ascii="Times New Roman" w:hAnsi="Times New Roman" w:cs="Times New Roman"/>
            <w:sz w:val="28"/>
            <w:szCs w:val="28"/>
            <w:highlight w:val="white"/>
          </w:rPr>
          <w:t xml:space="preserve">https://forms.yandex.ru/cloud/659e723773cee73da379ffe8/</w:t>
        </w:r>
        <w:r>
          <w:rPr>
            <w:rStyle w:val="865"/>
            <w:rFonts w:ascii="Times New Roman" w:hAnsi="Times New Roman" w:cs="Times New Roman"/>
          </w:rPr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1"/>
          <w:numId w:val="1"/>
        </w:numPr>
        <w:ind w:left="0" w:firstLine="72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проведения Акции: </w:t>
      </w:r>
      <w:r>
        <w:rPr>
          <w:rFonts w:ascii="Times New Roman" w:hAnsi="Times New Roman"/>
          <w:sz w:val="28"/>
          <w:highlight w:val="none"/>
        </w:rPr>
        <w:t xml:space="preserve">20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– 25 января 202</w:t>
      </w:r>
      <w:r>
        <w:rPr>
          <w:rFonts w:ascii="Times New Roman" w:hAnsi="Times New Roman"/>
          <w:sz w:val="28"/>
        </w:rPr>
        <w:t xml:space="preserve">5 года.</w:t>
      </w:r>
      <w:r>
        <w:rPr>
          <w:rFonts w:ascii="Times New Roman" w:hAnsi="Times New Roman"/>
          <w:sz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подачи заявок на участие в Акции: с 9.00 местного времени </w:t>
      </w:r>
      <w:r>
        <w:rPr>
          <w:rFonts w:ascii="Times New Roman" w:hAnsi="Times New Roman"/>
          <w:sz w:val="28"/>
        </w:rPr>
        <w:br/>
        <w:t xml:space="preserve">20</w:t>
      </w:r>
      <w:r>
        <w:rPr>
          <w:rFonts w:ascii="Times New Roman" w:hAnsi="Times New Roman"/>
          <w:sz w:val="28"/>
        </w:rPr>
        <w:t xml:space="preserve"> января до 12.00 местного времени 2</w:t>
      </w:r>
      <w:r>
        <w:rPr>
          <w:rFonts w:ascii="Times New Roman" w:hAnsi="Times New Roman"/>
          <w:sz w:val="28"/>
        </w:rPr>
        <w:t xml:space="preserve">4 января 202</w:t>
      </w:r>
      <w:r>
        <w:rPr>
          <w:rFonts w:ascii="Times New Roman" w:hAnsi="Times New Roman"/>
          <w:sz w:val="28"/>
        </w:rPr>
        <w:t xml:space="preserve">5 года.</w:t>
      </w:r>
      <w:r>
        <w:rPr>
          <w:rFonts w:ascii="Times New Roman" w:hAnsi="Times New Roman"/>
          <w:sz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2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Условия участия в Акции </w:t>
      </w:r>
      <w:r>
        <w:rPr>
          <w:rFonts w:ascii="Times New Roman" w:hAnsi="Times New Roman"/>
          <w:b/>
          <w:sz w:val="28"/>
        </w:rPr>
      </w:r>
    </w:p>
    <w:p>
      <w:pPr>
        <w:ind w:left="450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участию в Акции допускаются студенты (обучающиеся по очной форме обучения) организаций высшего и среднего профессионального образования, расположенных на территории автономного округа (далее - заявитель).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заявке указывается только одно желание в соответствии с требованиями, установленными пунктами 2.3 и 2.4 Положения.  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допускается указание в качестве желания получение недвижимого и/или недвижимого имущества (транспортных средств), животных, проведения капитального ремонта.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допускается указание желаний, противоречащих законодательству Российской Федерации. 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Акции допускаются к участию заявки с желаниями, связанными с приобретением развивающих и учебных материалов, книг, </w:t>
      </w:r>
      <w:r>
        <w:rPr>
          <w:rFonts w:ascii="Times New Roman" w:hAnsi="Times New Roman"/>
          <w:sz w:val="28"/>
        </w:rPr>
        <w:t xml:space="preserve">цифровой</w:t>
      </w:r>
      <w:r>
        <w:rPr>
          <w:rFonts w:ascii="Times New Roman" w:hAnsi="Times New Roman"/>
          <w:sz w:val="28"/>
        </w:rPr>
        <w:t xml:space="preserve"> техники для учебы, спортивного инвентаря, костюмов, а  также заявки на исполнение желания следующего рода: практика («Я мечтаю </w:t>
      </w:r>
      <w:r>
        <w:rPr>
          <w:rFonts w:ascii="Times New Roman" w:hAnsi="Times New Roman"/>
          <w:sz w:val="28"/>
        </w:rPr>
        <w:t xml:space="preserve">пройти практик</w:t>
      </w:r>
      <w:r>
        <w:rPr>
          <w:rFonts w:ascii="Times New Roman" w:hAnsi="Times New Roman"/>
          <w:sz w:val="28"/>
        </w:rPr>
        <w:t xml:space="preserve">у в…»), встреча («Я мечтаю встретиться с …»), цель («Я хочу поучаствовать с коллективом в окружной студенческой весне»), поездка в пределах Российской Федерации («Я мечтаю побывать в Санкт-Петербурге») и другие желания, не указанные в пункте 2.3 Положения.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Заявитель может отказаться от участия в Акции до 12.00 местного времени 24 января. Для отказа от участия необходимо направить электронное </w:t>
      </w:r>
      <w:r>
        <w:rPr>
          <w:rFonts w:ascii="Times New Roman" w:hAnsi="Times New Roman"/>
          <w:sz w:val="28"/>
        </w:rPr>
        <w:t xml:space="preserve">письмо на адрес </w:t>
      </w:r>
      <w:r>
        <w:rPr>
          <w:rFonts w:ascii="Times New Roman" w:hAnsi="Times New Roman"/>
          <w:color w:val="0563c1"/>
          <w:sz w:val="28"/>
          <w:u w:val="single"/>
          <w:lang w:val="en-US"/>
        </w:rPr>
        <w:t xml:space="preserve">doinhmao</w:t>
      </w:r>
      <w:r>
        <w:rPr>
          <w:rFonts w:ascii="Times New Roman" w:hAnsi="Times New Roman"/>
          <w:color w:val="0563c1"/>
          <w:sz w:val="28"/>
          <w:u w:val="single"/>
        </w:rPr>
        <w:t xml:space="preserve">86@</w:t>
      </w:r>
      <w:r>
        <w:rPr>
          <w:rFonts w:ascii="Times New Roman" w:hAnsi="Times New Roman"/>
          <w:color w:val="0563c1"/>
          <w:sz w:val="28"/>
          <w:u w:val="single"/>
          <w:lang w:val="en-US"/>
        </w:rPr>
        <w:t xml:space="preserve">yandex</w:t>
      </w:r>
      <w:r>
        <w:rPr>
          <w:rFonts w:ascii="Times New Roman" w:hAnsi="Times New Roman"/>
          <w:color w:val="0563c1"/>
          <w:sz w:val="28"/>
          <w:u w:val="single"/>
        </w:rPr>
        <w:t xml:space="preserve">.</w:t>
      </w:r>
      <w:r>
        <w:rPr>
          <w:rFonts w:ascii="Times New Roman" w:hAnsi="Times New Roman"/>
          <w:color w:val="0563c1"/>
          <w:sz w:val="28"/>
          <w:u w:val="single"/>
          <w:lang w:val="en-US"/>
        </w:rPr>
        <w:t xml:space="preserve">ru</w:t>
      </w:r>
      <w:r>
        <w:rPr>
          <w:rFonts w:ascii="Times New Roman" w:hAnsi="Times New Roman"/>
          <w:sz w:val="28"/>
        </w:rPr>
        <w:t xml:space="preserve"> с указанием ФИО, логина или электронной почты (под которым отправлялся запрос), образовательной организации</w:t>
      </w:r>
      <w:r>
        <w:rPr>
          <w:rFonts w:ascii="Times New Roman" w:hAnsi="Times New Roman"/>
          <w:sz w:val="28"/>
        </w:rPr>
        <w:t xml:space="preserve"> и номера группы.</w:t>
      </w:r>
      <w:r>
        <w:rPr>
          <w:rFonts w:ascii="Times New Roman" w:hAnsi="Times New Roman"/>
          <w:sz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2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рассмотрения заявок </w:t>
      </w:r>
      <w:r>
        <w:rPr>
          <w:rFonts w:ascii="Times New Roman" w:hAnsi="Times New Roman"/>
          <w:b/>
          <w:sz w:val="28"/>
        </w:rPr>
      </w:r>
    </w:p>
    <w:p>
      <w:pPr>
        <w:ind w:left="450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Заявки, полученные в срок, установленный пунктом 1.10 Положения, подлежат рассмотрению Организатором в течение </w:t>
      </w:r>
      <w:r>
        <w:rPr>
          <w:rFonts w:ascii="Times New Roman" w:hAnsi="Times New Roman"/>
          <w:sz w:val="28"/>
        </w:rPr>
        <w:br/>
        <w:t xml:space="preserve">2 (двух) календарных дней со дня окончания срока подачи заявок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соответствие требованиям, установленным разделом 2 Положения. 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</w:t>
      </w:r>
      <w:r>
        <w:rPr>
          <w:rFonts w:ascii="Times New Roman" w:hAnsi="Times New Roman"/>
          <w:sz w:val="28"/>
        </w:rPr>
        <w:t xml:space="preserve"> не допускается к участию в Акции в следующих случаях: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3.2.1. Оформлена в нарушение правил, установленных разделом 2 Положения.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3.2.2.  Заявитель на момент участия в Акции не является студентом (обучающимся по очной форме обучения) организаций высшего и среднего профессионального образования, расположенных на территории автономного округа.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3.2.3. Использование в заявке нецензурной лексики.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3.2.4. Отказ заявителя дать Организатору свое согласие на обработку персональных данных.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3.2.5. Выявление факта предоставления в заявке недостоверных сведений. 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25 января в День Студента из общего количества заявок случайным образом выбирается три заявки («счастливых билета»), которые исполняются в течение календарного года.</w:t>
      </w:r>
      <w:r>
        <w:t xml:space="preserve"> </w:t>
      </w:r>
      <w:r>
        <w:rPr>
          <w:rFonts w:ascii="Times New Roman" w:hAnsi="Times New Roman"/>
          <w:sz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3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Права и обязанности Организатора и заявителя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Заявитель имеет право: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4.1.1. Участвовать в Акции в соответствии с условиями и порядком, определенными Положением;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4.1.2.  Получить информацию о проведении Акции;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4.1.3. Отказаться от участия в Акции в порядке, установленном Положением;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</w:t>
      </w:r>
      <w:r>
        <w:rPr>
          <w:rFonts w:ascii="Times New Roman" w:hAnsi="Times New Roman"/>
          <w:sz w:val="28"/>
        </w:rPr>
        <w:t xml:space="preserve">Заявитель обязуется: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4.2.1. Ознакомиться с Положением;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4.2.2. </w:t>
      </w:r>
      <w:r>
        <w:rPr>
          <w:rFonts w:ascii="Times New Roman" w:hAnsi="Times New Roman"/>
          <w:sz w:val="28"/>
        </w:rPr>
        <w:t xml:space="preserve">Соблюдать требования Акции, установленные Положением;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Организатор вправе: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4.3.1. </w:t>
      </w:r>
      <w:r>
        <w:rPr>
          <w:rFonts w:ascii="Times New Roman" w:hAnsi="Times New Roman"/>
          <w:sz w:val="28"/>
        </w:rPr>
        <w:t xml:space="preserve">Вносить изменения в Положение;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4.3.2. </w:t>
      </w:r>
      <w:r>
        <w:rPr>
          <w:rFonts w:ascii="Times New Roman" w:hAnsi="Times New Roman"/>
          <w:sz w:val="28"/>
        </w:rPr>
        <w:t xml:space="preserve">Требовать от заявителя соблюдения условий и порядка участия в Акции.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</w:t>
      </w:r>
      <w:r>
        <w:rPr>
          <w:rFonts w:ascii="Times New Roman" w:hAnsi="Times New Roman"/>
          <w:sz w:val="28"/>
        </w:rPr>
        <w:t xml:space="preserve">Организатор обязуется: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Соблюдать и исполнять условия и порядок Положения;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4.4.2.</w:t>
      </w:r>
      <w:r>
        <w:rPr>
          <w:rFonts w:ascii="Times New Roman" w:hAnsi="Times New Roman"/>
          <w:sz w:val="28"/>
        </w:rPr>
        <w:t xml:space="preserve"> Организовать и провести Акцию в соответствии с порядком и сроками, установленным Положением.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3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Заключительные положения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</w:p>
    <w:p>
      <w:pPr>
        <w:ind w:left="72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По вопросам, не урегулированным Положением, Организатор и участники Акции руководствуются законодательством Российской Федерации. 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Организатор не несет ответственность за технические сбои и качество услуг телефонной связи, информационно-коммуникационной сети «Интернет», а также за качество работы </w:t>
      </w:r>
      <w:r>
        <w:rPr>
          <w:rFonts w:ascii="Times New Roman" w:hAnsi="Times New Roman"/>
          <w:sz w:val="28"/>
        </w:rPr>
        <w:t xml:space="preserve">интернет-провайдеров</w:t>
      </w:r>
      <w:r>
        <w:rPr>
          <w:rFonts w:ascii="Times New Roman" w:hAnsi="Times New Roman"/>
          <w:sz w:val="28"/>
        </w:rPr>
        <w:t xml:space="preserve">, и функционирования, оборудования и программного обеспечения участников акции, а также за иные не зависящие от Организатора обстоятельства, равно как и за все связанные с этим негативные последствия.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Организатор вправе досрочно прекратить проведения Акции. Уведомление о досрочном прекращении Акции подлежит опубликованию на официальной странице Акции или официальном сайте Организатора, указанным в пункте 1.5 Положения. 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Организатор не несет ответственности за: 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5.4.1. не ознакомление участников Акции с Положением; 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5.4.2. любой ущерб, понесенный участником Акции вследствие участия в ней;  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Организатор оставляет за собой право не вступать в письменные и (или) устные переговоры с участниками Акции, кроме как в случаях, указанных в Положении.  </w:t>
      </w:r>
      <w:r>
        <w:rPr>
          <w:rFonts w:ascii="Times New Roman" w:hAnsi="Times New Roman"/>
          <w:sz w:val="28"/>
        </w:rPr>
      </w:r>
    </w:p>
    <w:p>
      <w:pPr>
        <w:ind w:left="709" w:hanging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276" w:right="1134" w:bottom="1276" w:left="1559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Times New Roman" w:hAnsi="Times New Roman"/>
      </w:r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</w:p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spacing w:after="0" w:line="240" w:lineRule="auto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890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9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7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8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9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47"/>
    <w:link w:val="841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847"/>
    <w:link w:val="842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847"/>
    <w:link w:val="843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847"/>
    <w:link w:val="844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847"/>
    <w:link w:val="845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847"/>
    <w:link w:val="84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40"/>
    <w:next w:val="84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47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40"/>
    <w:next w:val="84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47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40"/>
    <w:next w:val="84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47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40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character" w:styleId="696">
    <w:name w:val="Title Char"/>
    <w:basedOn w:val="847"/>
    <w:link w:val="880"/>
    <w:uiPriority w:val="10"/>
    <w:rPr>
      <w:sz w:val="48"/>
      <w:szCs w:val="48"/>
    </w:rPr>
  </w:style>
  <w:style w:type="character" w:styleId="697">
    <w:name w:val="Subtitle Char"/>
    <w:basedOn w:val="847"/>
    <w:link w:val="878"/>
    <w:uiPriority w:val="11"/>
    <w:rPr>
      <w:sz w:val="24"/>
      <w:szCs w:val="24"/>
    </w:rPr>
  </w:style>
  <w:style w:type="paragraph" w:styleId="698">
    <w:name w:val="Quote"/>
    <w:basedOn w:val="840"/>
    <w:next w:val="840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0"/>
    <w:next w:val="840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47"/>
    <w:link w:val="886"/>
    <w:uiPriority w:val="99"/>
  </w:style>
  <w:style w:type="character" w:styleId="703">
    <w:name w:val="Footer Char"/>
    <w:basedOn w:val="847"/>
    <w:link w:val="888"/>
    <w:uiPriority w:val="99"/>
  </w:style>
  <w:style w:type="paragraph" w:styleId="70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888"/>
    <w:uiPriority w:val="99"/>
  </w:style>
  <w:style w:type="table" w:styleId="706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40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47"/>
    <w:uiPriority w:val="99"/>
    <w:unhideWhenUsed/>
    <w:rPr>
      <w:vertAlign w:val="superscript"/>
    </w:rPr>
  </w:style>
  <w:style w:type="paragraph" w:styleId="835">
    <w:name w:val="endnote text"/>
    <w:basedOn w:val="840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47"/>
    <w:uiPriority w:val="99"/>
    <w:semiHidden/>
    <w:unhideWhenUsed/>
    <w:rPr>
      <w:vertAlign w:val="superscript"/>
    </w:r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link w:val="850"/>
    <w:qFormat/>
  </w:style>
  <w:style w:type="paragraph" w:styleId="841">
    <w:name w:val="Heading 1"/>
    <w:basedOn w:val="840"/>
    <w:next w:val="840"/>
    <w:link w:val="863"/>
    <w:uiPriority w:val="9"/>
    <w:qFormat/>
    <w:pPr>
      <w:keepLines/>
      <w:keepNext/>
      <w:spacing w:before="480" w:after="120"/>
      <w:outlineLvl w:val="0"/>
    </w:pPr>
    <w:rPr>
      <w:b/>
      <w:sz w:val="48"/>
    </w:rPr>
  </w:style>
  <w:style w:type="paragraph" w:styleId="842">
    <w:name w:val="Heading 2"/>
    <w:basedOn w:val="840"/>
    <w:next w:val="840"/>
    <w:link w:val="883"/>
    <w:uiPriority w:val="9"/>
    <w:qFormat/>
    <w:pPr>
      <w:keepLines/>
      <w:keepNext/>
      <w:spacing w:before="360" w:after="80"/>
      <w:outlineLvl w:val="1"/>
    </w:pPr>
    <w:rPr>
      <w:b/>
      <w:sz w:val="36"/>
    </w:rPr>
  </w:style>
  <w:style w:type="paragraph" w:styleId="843">
    <w:name w:val="Heading 3"/>
    <w:basedOn w:val="840"/>
    <w:next w:val="840"/>
    <w:link w:val="859"/>
    <w:uiPriority w:val="9"/>
    <w:qFormat/>
    <w:pPr>
      <w:keepLines/>
      <w:keepNext/>
      <w:spacing w:before="280" w:after="80"/>
      <w:outlineLvl w:val="2"/>
    </w:pPr>
    <w:rPr>
      <w:b/>
      <w:sz w:val="28"/>
    </w:rPr>
  </w:style>
  <w:style w:type="paragraph" w:styleId="844">
    <w:name w:val="Heading 4"/>
    <w:basedOn w:val="840"/>
    <w:next w:val="840"/>
    <w:link w:val="882"/>
    <w:uiPriority w:val="9"/>
    <w:qFormat/>
    <w:pPr>
      <w:keepLines/>
      <w:keepNext/>
      <w:spacing w:before="240" w:after="40"/>
      <w:outlineLvl w:val="3"/>
    </w:pPr>
    <w:rPr>
      <w:b/>
      <w:sz w:val="24"/>
    </w:rPr>
  </w:style>
  <w:style w:type="paragraph" w:styleId="845">
    <w:name w:val="Heading 5"/>
    <w:basedOn w:val="840"/>
    <w:next w:val="840"/>
    <w:link w:val="862"/>
    <w:uiPriority w:val="9"/>
    <w:qFormat/>
    <w:pPr>
      <w:keepLines/>
      <w:keepNext/>
      <w:spacing w:before="220" w:after="40"/>
      <w:outlineLvl w:val="4"/>
    </w:pPr>
    <w:rPr>
      <w:b/>
    </w:rPr>
  </w:style>
  <w:style w:type="paragraph" w:styleId="846">
    <w:name w:val="Heading 6"/>
    <w:basedOn w:val="840"/>
    <w:next w:val="840"/>
    <w:link w:val="884"/>
    <w:uiPriority w:val="9"/>
    <w:qFormat/>
    <w:pPr>
      <w:keepLines/>
      <w:keepNext/>
      <w:spacing w:before="200" w:after="40"/>
      <w:outlineLvl w:val="5"/>
    </w:pPr>
    <w:rPr>
      <w:b/>
      <w:sz w:val="20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character" w:styleId="850" w:customStyle="1">
    <w:name w:val="Обычный1"/>
  </w:style>
  <w:style w:type="paragraph" w:styleId="851">
    <w:name w:val="toc 2"/>
    <w:next w:val="840"/>
    <w:link w:val="852"/>
    <w:uiPriority w:val="39"/>
    <w:pPr>
      <w:ind w:left="200"/>
    </w:pPr>
    <w:rPr>
      <w:rFonts w:ascii="XO Thames" w:hAnsi="XO Thames"/>
      <w:sz w:val="28"/>
    </w:rPr>
  </w:style>
  <w:style w:type="character" w:styleId="852" w:customStyle="1">
    <w:name w:val="Оглавление 2 Знак"/>
    <w:link w:val="851"/>
    <w:rPr>
      <w:rFonts w:ascii="XO Thames" w:hAnsi="XO Thames"/>
      <w:sz w:val="28"/>
    </w:rPr>
  </w:style>
  <w:style w:type="paragraph" w:styleId="853">
    <w:name w:val="toc 4"/>
    <w:next w:val="840"/>
    <w:link w:val="854"/>
    <w:uiPriority w:val="39"/>
    <w:pPr>
      <w:ind w:left="600"/>
    </w:pPr>
    <w:rPr>
      <w:rFonts w:ascii="XO Thames" w:hAnsi="XO Thames"/>
      <w:sz w:val="28"/>
    </w:rPr>
  </w:style>
  <w:style w:type="character" w:styleId="854" w:customStyle="1">
    <w:name w:val="Оглавление 4 Знак"/>
    <w:link w:val="853"/>
    <w:rPr>
      <w:rFonts w:ascii="XO Thames" w:hAnsi="XO Thames"/>
      <w:sz w:val="28"/>
    </w:rPr>
  </w:style>
  <w:style w:type="paragraph" w:styleId="855">
    <w:name w:val="toc 6"/>
    <w:next w:val="840"/>
    <w:link w:val="856"/>
    <w:uiPriority w:val="39"/>
    <w:pPr>
      <w:ind w:left="1000"/>
    </w:pPr>
    <w:rPr>
      <w:rFonts w:ascii="XO Thames" w:hAnsi="XO Thames"/>
      <w:sz w:val="28"/>
    </w:rPr>
  </w:style>
  <w:style w:type="character" w:styleId="856" w:customStyle="1">
    <w:name w:val="Оглавление 6 Знак"/>
    <w:link w:val="855"/>
    <w:rPr>
      <w:rFonts w:ascii="XO Thames" w:hAnsi="XO Thames"/>
      <w:sz w:val="28"/>
    </w:rPr>
  </w:style>
  <w:style w:type="paragraph" w:styleId="857">
    <w:name w:val="toc 7"/>
    <w:next w:val="840"/>
    <w:link w:val="858"/>
    <w:uiPriority w:val="39"/>
    <w:pPr>
      <w:ind w:left="1200"/>
    </w:pPr>
    <w:rPr>
      <w:rFonts w:ascii="XO Thames" w:hAnsi="XO Thames"/>
      <w:sz w:val="28"/>
    </w:rPr>
  </w:style>
  <w:style w:type="character" w:styleId="858" w:customStyle="1">
    <w:name w:val="Оглавление 7 Знак"/>
    <w:link w:val="857"/>
    <w:rPr>
      <w:rFonts w:ascii="XO Thames" w:hAnsi="XO Thames"/>
      <w:sz w:val="28"/>
    </w:rPr>
  </w:style>
  <w:style w:type="character" w:styleId="859" w:customStyle="1">
    <w:name w:val="Заголовок 3 Знак"/>
    <w:basedOn w:val="850"/>
    <w:link w:val="843"/>
    <w:rPr>
      <w:b/>
      <w:sz w:val="28"/>
    </w:rPr>
  </w:style>
  <w:style w:type="paragraph" w:styleId="860">
    <w:name w:val="toc 3"/>
    <w:next w:val="840"/>
    <w:link w:val="861"/>
    <w:uiPriority w:val="39"/>
    <w:pPr>
      <w:ind w:left="400"/>
    </w:pPr>
    <w:rPr>
      <w:rFonts w:ascii="XO Thames" w:hAnsi="XO Thames"/>
      <w:sz w:val="28"/>
    </w:rPr>
  </w:style>
  <w:style w:type="character" w:styleId="861" w:customStyle="1">
    <w:name w:val="Оглавление 3 Знак"/>
    <w:link w:val="860"/>
    <w:rPr>
      <w:rFonts w:ascii="XO Thames" w:hAnsi="XO Thames"/>
      <w:sz w:val="28"/>
    </w:rPr>
  </w:style>
  <w:style w:type="character" w:styleId="862" w:customStyle="1">
    <w:name w:val="Заголовок 5 Знак"/>
    <w:basedOn w:val="850"/>
    <w:link w:val="845"/>
    <w:rPr>
      <w:b/>
      <w:sz w:val="22"/>
    </w:rPr>
  </w:style>
  <w:style w:type="character" w:styleId="863" w:customStyle="1">
    <w:name w:val="Заголовок 1 Знак"/>
    <w:basedOn w:val="850"/>
    <w:link w:val="841"/>
    <w:rPr>
      <w:b/>
      <w:sz w:val="48"/>
    </w:rPr>
  </w:style>
  <w:style w:type="paragraph" w:styleId="864" w:customStyle="1">
    <w:name w:val="Гиперссылка1"/>
    <w:link w:val="865"/>
    <w:rPr>
      <w:color w:val="0000ff"/>
      <w:u w:val="single"/>
    </w:rPr>
  </w:style>
  <w:style w:type="character" w:styleId="865">
    <w:name w:val="Hyperlink"/>
    <w:link w:val="864"/>
    <w:rPr>
      <w:color w:val="0000ff"/>
      <w:u w:val="single"/>
    </w:rPr>
  </w:style>
  <w:style w:type="paragraph" w:styleId="866" w:customStyle="1">
    <w:name w:val="Footnote"/>
    <w:link w:val="867"/>
    <w:pPr>
      <w:ind w:firstLine="851"/>
      <w:jc w:val="both"/>
    </w:pPr>
    <w:rPr>
      <w:rFonts w:ascii="XO Thames" w:hAnsi="XO Thames"/>
    </w:rPr>
  </w:style>
  <w:style w:type="character" w:styleId="867" w:customStyle="1">
    <w:name w:val="Footnote"/>
    <w:link w:val="866"/>
    <w:rPr>
      <w:rFonts w:ascii="XO Thames" w:hAnsi="XO Thames"/>
      <w:sz w:val="22"/>
    </w:rPr>
  </w:style>
  <w:style w:type="paragraph" w:styleId="868">
    <w:name w:val="toc 1"/>
    <w:next w:val="840"/>
    <w:link w:val="869"/>
    <w:uiPriority w:val="39"/>
    <w:rPr>
      <w:rFonts w:ascii="XO Thames" w:hAnsi="XO Thames"/>
      <w:b/>
      <w:sz w:val="28"/>
    </w:rPr>
  </w:style>
  <w:style w:type="character" w:styleId="869" w:customStyle="1">
    <w:name w:val="Оглавление 1 Знак"/>
    <w:link w:val="868"/>
    <w:rPr>
      <w:rFonts w:ascii="XO Thames" w:hAnsi="XO Thames"/>
      <w:b/>
      <w:sz w:val="28"/>
    </w:rPr>
  </w:style>
  <w:style w:type="paragraph" w:styleId="870" w:customStyle="1">
    <w:name w:val="Header and Footer"/>
    <w:link w:val="871"/>
    <w:pPr>
      <w:jc w:val="both"/>
      <w:spacing w:line="240" w:lineRule="auto"/>
    </w:pPr>
    <w:rPr>
      <w:rFonts w:ascii="XO Thames" w:hAnsi="XO Thames"/>
      <w:sz w:val="20"/>
    </w:rPr>
  </w:style>
  <w:style w:type="character" w:styleId="871" w:customStyle="1">
    <w:name w:val="Header and Footer"/>
    <w:link w:val="870"/>
    <w:rPr>
      <w:rFonts w:ascii="XO Thames" w:hAnsi="XO Thames"/>
      <w:sz w:val="20"/>
    </w:rPr>
  </w:style>
  <w:style w:type="paragraph" w:styleId="872">
    <w:name w:val="toc 9"/>
    <w:next w:val="840"/>
    <w:link w:val="873"/>
    <w:uiPriority w:val="39"/>
    <w:pPr>
      <w:ind w:left="1600"/>
    </w:pPr>
    <w:rPr>
      <w:rFonts w:ascii="XO Thames" w:hAnsi="XO Thames"/>
      <w:sz w:val="28"/>
    </w:rPr>
  </w:style>
  <w:style w:type="character" w:styleId="873" w:customStyle="1">
    <w:name w:val="Оглавление 9 Знак"/>
    <w:link w:val="872"/>
    <w:rPr>
      <w:rFonts w:ascii="XO Thames" w:hAnsi="XO Thames"/>
      <w:sz w:val="28"/>
    </w:rPr>
  </w:style>
  <w:style w:type="paragraph" w:styleId="874">
    <w:name w:val="toc 8"/>
    <w:next w:val="840"/>
    <w:link w:val="875"/>
    <w:uiPriority w:val="39"/>
    <w:pPr>
      <w:ind w:left="1400"/>
    </w:pPr>
    <w:rPr>
      <w:rFonts w:ascii="XO Thames" w:hAnsi="XO Thames"/>
      <w:sz w:val="28"/>
    </w:rPr>
  </w:style>
  <w:style w:type="character" w:styleId="875" w:customStyle="1">
    <w:name w:val="Оглавление 8 Знак"/>
    <w:link w:val="874"/>
    <w:rPr>
      <w:rFonts w:ascii="XO Thames" w:hAnsi="XO Thames"/>
      <w:sz w:val="28"/>
    </w:rPr>
  </w:style>
  <w:style w:type="paragraph" w:styleId="876">
    <w:name w:val="toc 5"/>
    <w:next w:val="840"/>
    <w:link w:val="877"/>
    <w:uiPriority w:val="39"/>
    <w:pPr>
      <w:ind w:left="800"/>
    </w:pPr>
    <w:rPr>
      <w:rFonts w:ascii="XO Thames" w:hAnsi="XO Thames"/>
      <w:sz w:val="28"/>
    </w:rPr>
  </w:style>
  <w:style w:type="character" w:styleId="877" w:customStyle="1">
    <w:name w:val="Оглавление 5 Знак"/>
    <w:link w:val="876"/>
    <w:rPr>
      <w:rFonts w:ascii="XO Thames" w:hAnsi="XO Thames"/>
      <w:sz w:val="28"/>
    </w:rPr>
  </w:style>
  <w:style w:type="paragraph" w:styleId="878">
    <w:name w:val="Subtitle"/>
    <w:basedOn w:val="840"/>
    <w:next w:val="840"/>
    <w:link w:val="879"/>
    <w:uiPriority w:val="11"/>
    <w:qFormat/>
    <w:pPr>
      <w:keepLines/>
      <w:keepNext/>
      <w:spacing w:before="360" w:after="80"/>
    </w:pPr>
    <w:rPr>
      <w:rFonts w:ascii="Georgia" w:hAnsi="Georgia"/>
      <w:i/>
      <w:color w:val="666666"/>
      <w:sz w:val="48"/>
    </w:rPr>
  </w:style>
  <w:style w:type="character" w:styleId="879" w:customStyle="1">
    <w:name w:val="Подзаголовок Знак"/>
    <w:basedOn w:val="850"/>
    <w:link w:val="878"/>
    <w:rPr>
      <w:rFonts w:ascii="Georgia" w:hAnsi="Georgia"/>
      <w:i/>
      <w:color w:val="666666"/>
      <w:sz w:val="48"/>
    </w:rPr>
  </w:style>
  <w:style w:type="paragraph" w:styleId="880">
    <w:name w:val="Title"/>
    <w:basedOn w:val="840"/>
    <w:next w:val="840"/>
    <w:link w:val="881"/>
    <w:uiPriority w:val="10"/>
    <w:qFormat/>
    <w:pPr>
      <w:keepLines/>
      <w:keepNext/>
      <w:spacing w:before="480" w:after="120"/>
    </w:pPr>
    <w:rPr>
      <w:b/>
      <w:sz w:val="72"/>
    </w:rPr>
  </w:style>
  <w:style w:type="character" w:styleId="881" w:customStyle="1">
    <w:name w:val="Название Знак"/>
    <w:basedOn w:val="850"/>
    <w:link w:val="880"/>
    <w:rPr>
      <w:b/>
      <w:sz w:val="72"/>
    </w:rPr>
  </w:style>
  <w:style w:type="character" w:styleId="882" w:customStyle="1">
    <w:name w:val="Заголовок 4 Знак"/>
    <w:basedOn w:val="850"/>
    <w:link w:val="844"/>
    <w:rPr>
      <w:b/>
      <w:sz w:val="24"/>
    </w:rPr>
  </w:style>
  <w:style w:type="character" w:styleId="883" w:customStyle="1">
    <w:name w:val="Заголовок 2 Знак"/>
    <w:basedOn w:val="850"/>
    <w:link w:val="842"/>
    <w:rPr>
      <w:b/>
      <w:sz w:val="36"/>
    </w:rPr>
  </w:style>
  <w:style w:type="character" w:styleId="884" w:customStyle="1">
    <w:name w:val="Заголовок 6 Знак"/>
    <w:basedOn w:val="850"/>
    <w:link w:val="846"/>
    <w:rPr>
      <w:b/>
      <w:sz w:val="20"/>
    </w:rPr>
  </w:style>
  <w:style w:type="table" w:styleId="88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6">
    <w:name w:val="Header"/>
    <w:basedOn w:val="840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47"/>
    <w:link w:val="886"/>
    <w:uiPriority w:val="99"/>
  </w:style>
  <w:style w:type="paragraph" w:styleId="888">
    <w:name w:val="Footer"/>
    <w:basedOn w:val="840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Нижний колонтитул Знак"/>
    <w:basedOn w:val="847"/>
    <w:link w:val="888"/>
    <w:uiPriority w:val="99"/>
  </w:style>
  <w:style w:type="character" w:styleId="890">
    <w:name w:val="FollowedHyperlink"/>
    <w:basedOn w:val="84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t.me/Ugradepobr" TargetMode="External"/><Relationship Id="rId11" Type="http://schemas.openxmlformats.org/officeDocument/2006/relationships/hyperlink" Target="https://forms.yandex.ru/cloud/659e723773cee73da379ffe8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Перескокова Екатерина Павловна</dc:creator>
  <cp:revision>11</cp:revision>
  <dcterms:created xsi:type="dcterms:W3CDTF">2023-01-13T06:54:00Z</dcterms:created>
  <dcterms:modified xsi:type="dcterms:W3CDTF">2025-01-20T07:03:33Z</dcterms:modified>
</cp:coreProperties>
</file>